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en-US"/>
        </w:rPr>
      </w:pPr>
      <w:r>
        <w:rPr>
          <w:rFonts w:ascii="Times New Roman"/>
          <w:b w:val="1"/>
          <w:bCs w:val="1"/>
          <w:sz w:val="32"/>
          <w:szCs w:val="32"/>
          <w:rtl w:val="0"/>
          <w:lang w:val="en-US"/>
        </w:rPr>
        <w:t>Service List</w:t>
      </w:r>
    </w:p>
    <w:p>
      <w:pPr>
        <w:pStyle w:val="Body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en-US"/>
        </w:rPr>
      </w:pPr>
      <w:r>
        <w:rPr>
          <w:rFonts w:ascii="Times New Roman"/>
          <w:b w:val="1"/>
          <w:bCs w:val="1"/>
          <w:sz w:val="32"/>
          <w:szCs w:val="32"/>
          <w:rtl w:val="0"/>
          <w:lang w:val="en-US"/>
        </w:rPr>
        <w:t>(December 28, 2016)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  <w:lang w:val="en-US"/>
        </w:rPr>
        <w:br w:type="textWrapping"/>
      </w:r>
    </w:p>
    <w:tbl>
      <w:tblPr>
        <w:tblW w:w="936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36"/>
        <w:gridCol w:w="8024"/>
      </w:tblGrid>
      <w:tr>
        <w:tblPrEx>
          <w:shd w:val="clear" w:color="auto" w:fill="auto"/>
        </w:tblPrEx>
        <w:trPr>
          <w:trHeight w:val="57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BORDEN LADNER GERVAIS LLP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Bay Adelaide Centre, East Tower</w:t>
            </w:r>
          </w:p>
          <w:p>
            <w:pPr>
              <w:pStyle w:val="Body"/>
              <w:keepNext w:val="1"/>
              <w:keepLines w:val="1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 Adelaide St. W.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Toronto ON  M5H 4E3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Roger Jaipargas </w:t>
            </w:r>
          </w:p>
          <w:p>
            <w:pPr>
              <w:pStyle w:val="Body"/>
              <w:keepNext w:val="1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367-6266</w:t>
            </w:r>
          </w:p>
          <w:p>
            <w:pPr>
              <w:pStyle w:val="Body"/>
              <w:keepNext w:val="1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367-6749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E-mail: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en-US"/>
              </w:rPr>
              <w:t>rjaipargas@blg.com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Evita Ferreira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Tel: (416) 367-6708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Fax: (416) 367-6749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en-US"/>
              </w:rPr>
              <w:t>eferreira@blg.com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240" w:line="240" w:lineRule="auto"/>
              <w:jc w:val="both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Counsel to Modular Space Holdings, Inc.,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Modular Space Intermediate Holdings, Inc., Modular Space Corporation, Resun ModSpace, Inc., ModSpace Government Financial Services, Inc., ModSpace Financial Services Canada, Ltd. and Resun Chippewa, LLC</w:t>
            </w:r>
          </w:p>
        </w:tc>
      </w:tr>
      <w:tr>
        <w:tblPrEx>
          <w:shd w:val="clear" w:color="auto" w:fill="auto"/>
        </w:tblPrEx>
        <w:trPr>
          <w:trHeight w:val="54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ALVAREZ &amp; MARSAL CANADA INC.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Royal Bank Plaza, South Tower, 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Suite 2900, P.O. Box 22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200 Bay Street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Toronto ON  M5J 2J1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Alan Hutchens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847-5159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847-5201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en-US"/>
              </w:rPr>
              <w:t>ahutchens@alvarezandmarsal.com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Jenny Poulos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847-5166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847-5201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en-US"/>
              </w:rPr>
              <w:t>jpoulos@alvarezandmarsal.com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The Information Officer 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</w:p>
        </w:tc>
      </w:tr>
      <w:tr>
        <w:tblPrEx>
          <w:shd w:val="clear" w:color="auto" w:fill="auto"/>
        </w:tblPrEx>
        <w:trPr>
          <w:trHeight w:val="39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TORYS LLP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TD South Tower 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30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Floor, Box 270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79 Wellington Street W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Toronto ON  M5K 1N2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David Bish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865-7353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865-7380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vertAlign w:val="baseline"/>
                <w:rtl w:val="0"/>
                <w:lang w:val="en-US"/>
              </w:rPr>
              <w:t>dbish@torys.com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Counsel to Alvarez &amp; Marsal Canada Inc., the Information Officer </w:t>
            </w:r>
          </w:p>
        </w:tc>
      </w:tr>
      <w:tr>
        <w:tblPrEx>
          <w:shd w:val="clear" w:color="auto" w:fill="auto"/>
        </w:tblPrEx>
        <w:trPr>
          <w:trHeight w:val="48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NORTON ROSE FULBRIGHT CANADA LLP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Suite 2500, 1 Place Ville Marie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Montreal QC   H3B 1R1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Evan Cobb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(416) 216-1929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: (416) 216-3930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Email: evan.cobb@nortonrosefulbright.com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Serge Levy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(514) 847-6037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(514) 286-5474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serge.levy@nortonrosefulbright.com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Counsel to Bank of America, N.A., as Administrative Agent</w:t>
            </w:r>
          </w:p>
        </w:tc>
      </w:tr>
      <w:tr>
        <w:tblPrEx>
          <w:shd w:val="clear" w:color="auto" w:fill="auto"/>
        </w:tblPrEx>
        <w:trPr>
          <w:trHeight w:val="51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AND TO: 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BENNETT JONES LLP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3400 One First Canadian Place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P.O. Box 130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Toronto  ON  M5X 1A4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Kevin Zych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777-5738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863-1716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zychk@bennettjones.com 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Sean Zweig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Tel: (416) 777-6254</w:t>
            </w: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br w:type="textWrapping"/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Fax: (416) 863-1716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Email: zweigs@bennettjones.com 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Counsel to the Ad Hoc Group of Secured Noteholders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PHH VEHICLE MANAGEMENT SERVICES INC.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2233 Argentia Rd., Suite 400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Mississauga ON  L5N 2X7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ELEMENT FLEET MANAGEMENT INC.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 Robert Speck Parkway, Suite 900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Mississauga ON   L4Z 1S1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AND TO:</w:t>
            </w:r>
          </w:p>
        </w:tc>
        <w:tc>
          <w:tcPr>
            <w:tcW w:type="dxa" w:w="8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PITNEY BOWES GLOBAL FINANCIAL SERVICES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5500 Explorer Drive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Mississauga ON   L4W 5C7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en-US"/>
        </w:rPr>
      </w:pPr>
    </w:p>
    <w:p>
      <w:pPr>
        <w:pStyle w:val="Body"/>
        <w:spacing w:after="0" w:line="240" w:lineRule="auto"/>
        <w:ind w:left="1440" w:hanging="14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keepNext w:val="1"/>
        <w:keepLines w:val="1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keepNext w:val="1"/>
        <w:keepLines w:val="1"/>
        <w:spacing w:after="0" w:line="240" w:lineRule="auto"/>
        <w:jc w:val="center"/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en-US"/>
        </w:rPr>
        <w:br w:type="page"/>
      </w:r>
    </w:p>
    <w:p>
      <w:pPr>
        <w:pStyle w:val="Body"/>
        <w:keepNext w:val="1"/>
        <w:keepLines w:val="1"/>
        <w:spacing w:after="0"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en-US"/>
        </w:rPr>
        <w:br w:type="page"/>
      </w:r>
    </w:p>
    <w:p>
      <w:pPr>
        <w:pStyle w:val="Body"/>
        <w:keepNext w:val="1"/>
        <w:keepLines w:val="1"/>
        <w:spacing w:after="0" w:line="240" w:lineRule="auto"/>
        <w:jc w:val="center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